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CD" w:rsidRDefault="00430ECD" w:rsidP="00430ECD">
      <w:pPr>
        <w:shd w:val="clear" w:color="auto" w:fill="FFFFFF"/>
        <w:ind w:left="5245"/>
        <w:jc w:val="both"/>
      </w:pPr>
      <w:r w:rsidRPr="004D64C4">
        <w:t xml:space="preserve">Приложение </w:t>
      </w:r>
      <w:r>
        <w:t>№ 2</w:t>
      </w:r>
    </w:p>
    <w:p w:rsidR="00430ECD" w:rsidRDefault="00430ECD" w:rsidP="00430ECD">
      <w:pPr>
        <w:shd w:val="clear" w:color="auto" w:fill="FFFFFF"/>
        <w:ind w:left="5245"/>
        <w:jc w:val="both"/>
      </w:pPr>
      <w:r>
        <w:t>к приказу ГБУЗ РБ Бакалинская ЦРБ</w:t>
      </w:r>
    </w:p>
    <w:p w:rsidR="00430ECD" w:rsidRPr="004D64C4" w:rsidRDefault="00430ECD" w:rsidP="00430ECD">
      <w:pPr>
        <w:shd w:val="clear" w:color="auto" w:fill="FFFFFF"/>
        <w:ind w:left="5245"/>
        <w:jc w:val="both"/>
      </w:pPr>
      <w:r>
        <w:t>от 09.01.2023 г. № 113</w:t>
      </w:r>
    </w:p>
    <w:p w:rsidR="00430ECD" w:rsidRDefault="00430ECD" w:rsidP="00430ECD">
      <w:pPr>
        <w:shd w:val="clear" w:color="auto" w:fill="FFFFFF"/>
        <w:rPr>
          <w:rFonts w:ascii="Verdana" w:hAnsi="Verdana"/>
        </w:rPr>
      </w:pPr>
      <w:bookmarkStart w:id="0" w:name="_GoBack"/>
      <w:bookmarkEnd w:id="0"/>
    </w:p>
    <w:p w:rsidR="00430ECD" w:rsidRDefault="00430ECD" w:rsidP="00430ECD">
      <w:pPr>
        <w:shd w:val="clear" w:color="auto" w:fill="FFFFFF"/>
        <w:rPr>
          <w:rFonts w:ascii="Verdana" w:hAnsi="Verdana"/>
        </w:rPr>
      </w:pPr>
    </w:p>
    <w:p w:rsidR="00430ECD" w:rsidRPr="00B40D5B" w:rsidRDefault="00430ECD" w:rsidP="00430ECD">
      <w:pPr>
        <w:shd w:val="clear" w:color="auto" w:fill="FFFFFF"/>
        <w:rPr>
          <w:rFonts w:ascii="Verdana" w:hAnsi="Verdana"/>
        </w:rPr>
      </w:pPr>
    </w:p>
    <w:p w:rsidR="00430ECD" w:rsidRDefault="00430ECD" w:rsidP="00430ECD">
      <w:pPr>
        <w:pStyle w:val="30"/>
        <w:shd w:val="clear" w:color="auto" w:fill="auto"/>
        <w:spacing w:line="240" w:lineRule="auto"/>
      </w:pPr>
      <w:r>
        <w:t>ПОЛИТИКА</w:t>
      </w:r>
    </w:p>
    <w:p w:rsidR="00430ECD" w:rsidRDefault="00430ECD" w:rsidP="00430ECD">
      <w:pPr>
        <w:pStyle w:val="30"/>
        <w:shd w:val="clear" w:color="auto" w:fill="auto"/>
        <w:spacing w:line="240" w:lineRule="auto"/>
      </w:pPr>
      <w:r>
        <w:t>обработки персональных данных</w:t>
      </w:r>
    </w:p>
    <w:p w:rsidR="00430ECD" w:rsidRPr="00EA7857" w:rsidRDefault="00430ECD" w:rsidP="00430ECD">
      <w:pPr>
        <w:numPr>
          <w:ilvl w:val="0"/>
          <w:numId w:val="1"/>
        </w:numPr>
        <w:tabs>
          <w:tab w:val="left" w:pos="0"/>
        </w:tabs>
        <w:spacing w:before="240"/>
        <w:ind w:left="0" w:firstLine="0"/>
        <w:jc w:val="center"/>
        <w:rPr>
          <w:b/>
          <w:i/>
          <w:sz w:val="28"/>
          <w:szCs w:val="28"/>
        </w:rPr>
      </w:pPr>
      <w:r w:rsidRPr="00EA7857">
        <w:rPr>
          <w:b/>
          <w:i/>
          <w:sz w:val="28"/>
          <w:szCs w:val="28"/>
        </w:rPr>
        <w:t>Общие положения</w:t>
      </w:r>
    </w:p>
    <w:p w:rsidR="00430ECD" w:rsidRPr="000B7D90" w:rsidRDefault="00430ECD" w:rsidP="00430ECD">
      <w:pPr>
        <w:numPr>
          <w:ilvl w:val="0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>Настоящая Политика в отношении обработки персональных данных (далее – Политика) разработана в соответствии с частью 2 пункта 1 статьи 18.1 Федерального закона РФ «</w:t>
      </w:r>
      <w:proofErr w:type="spellStart"/>
      <w:r w:rsidRPr="000B7D90">
        <w:rPr>
          <w:sz w:val="28"/>
          <w:szCs w:val="28"/>
        </w:rPr>
        <w:t>Оперсональных</w:t>
      </w:r>
      <w:proofErr w:type="spellEnd"/>
      <w:r w:rsidRPr="000B7D90">
        <w:rPr>
          <w:sz w:val="28"/>
          <w:szCs w:val="28"/>
        </w:rPr>
        <w:t xml:space="preserve"> данных» №152-ФЗ от 27 июля 2006 года и действует в отношении всех персональных данных (далее – </w:t>
      </w:r>
      <w:proofErr w:type="spellStart"/>
      <w:r w:rsidRPr="000B7D90">
        <w:rPr>
          <w:sz w:val="28"/>
          <w:szCs w:val="28"/>
        </w:rPr>
        <w:t>ПДн</w:t>
      </w:r>
      <w:proofErr w:type="spellEnd"/>
      <w:r w:rsidRPr="000B7D90">
        <w:rPr>
          <w:sz w:val="28"/>
          <w:szCs w:val="28"/>
        </w:rPr>
        <w:t>), которые Государственное бюджетное учреждение здравоохранения Республики Башкортостан Бакалинская центральная районная больница (далее – Учреждение) может получить от субъекта персональных данных в определенных целях в качестве оператора персональных данных.</w:t>
      </w:r>
    </w:p>
    <w:p w:rsidR="00430ECD" w:rsidRPr="000B7D90" w:rsidRDefault="00430ECD" w:rsidP="00430ECD">
      <w:pPr>
        <w:numPr>
          <w:ilvl w:val="0"/>
          <w:numId w:val="2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>Под субъектами персональных данных в настоящей Политике понимаются:</w:t>
      </w:r>
    </w:p>
    <w:p w:rsidR="00430ECD" w:rsidRPr="000B7D90" w:rsidRDefault="00430ECD" w:rsidP="00430EC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>Сотрудники Учреждения, состоящие в трудовых, гражданско-правовых отношениях с Учреждением.</w:t>
      </w:r>
    </w:p>
    <w:p w:rsidR="00430ECD" w:rsidRPr="000B7D90" w:rsidRDefault="00430ECD" w:rsidP="00430EC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>Пациенты (и/или их законные представители), обратившиеся в Учреждение с целью получения медицинской помощи.</w:t>
      </w:r>
    </w:p>
    <w:p w:rsidR="00430ECD" w:rsidRPr="000B7D90" w:rsidRDefault="00430ECD" w:rsidP="00430EC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>Лица, состоящие в гражданско-правовых отношениях с другими юридическими лицами, направленные на прохождение медосмотра.</w:t>
      </w:r>
    </w:p>
    <w:p w:rsidR="00430ECD" w:rsidRPr="000B7D90" w:rsidRDefault="00430ECD" w:rsidP="00430EC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B7D90">
        <w:rPr>
          <w:sz w:val="28"/>
          <w:szCs w:val="28"/>
        </w:rPr>
        <w:t xml:space="preserve">Положения настоящего документа распространяются на весь объем </w:t>
      </w:r>
      <w:proofErr w:type="spellStart"/>
      <w:r w:rsidRPr="000B7D90">
        <w:rPr>
          <w:sz w:val="28"/>
          <w:szCs w:val="28"/>
        </w:rPr>
        <w:t>ПД</w:t>
      </w:r>
      <w:r>
        <w:rPr>
          <w:sz w:val="28"/>
          <w:szCs w:val="28"/>
        </w:rPr>
        <w:t>н</w:t>
      </w:r>
      <w:proofErr w:type="spellEnd"/>
      <w:r w:rsidRPr="000B7D90">
        <w:rPr>
          <w:sz w:val="28"/>
          <w:szCs w:val="28"/>
        </w:rPr>
        <w:t>, обрабатываемых в Управляющей, полученных как до, так и после утверждения настоящей Политики.</w:t>
      </w:r>
    </w:p>
    <w:p w:rsidR="00430ECD" w:rsidRPr="00EA7857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 w:rsidRPr="00EA7857">
        <w:rPr>
          <w:b/>
          <w:i/>
          <w:sz w:val="28"/>
          <w:szCs w:val="28"/>
        </w:rPr>
        <w:t>Цени сбора и обработки ПДН</w:t>
      </w:r>
    </w:p>
    <w:p w:rsidR="00430ECD" w:rsidRPr="000B7D90" w:rsidRDefault="00430ECD" w:rsidP="00430ECD">
      <w:pPr>
        <w:pStyle w:val="a3"/>
        <w:numPr>
          <w:ilvl w:val="0"/>
          <w:numId w:val="4"/>
        </w:numPr>
        <w:spacing w:line="240" w:lineRule="auto"/>
        <w:ind w:left="0" w:firstLine="992"/>
        <w:rPr>
          <w:rFonts w:ascii="Times New Roman" w:hAnsi="Times New Roman"/>
        </w:rPr>
      </w:pPr>
      <w:r w:rsidRPr="000B7D90">
        <w:rPr>
          <w:rFonts w:ascii="Times New Roman" w:hAnsi="Times New Roman"/>
        </w:rPr>
        <w:t xml:space="preserve">Учреждение собирает и хранит </w:t>
      </w:r>
      <w:proofErr w:type="spellStart"/>
      <w:r w:rsidRPr="000B7D90">
        <w:rPr>
          <w:rFonts w:ascii="Times New Roman" w:hAnsi="Times New Roman"/>
        </w:rPr>
        <w:t>ПДн</w:t>
      </w:r>
      <w:proofErr w:type="spellEnd"/>
      <w:r w:rsidRPr="000B7D90">
        <w:rPr>
          <w:rFonts w:ascii="Times New Roman" w:hAnsi="Times New Roman"/>
        </w:rPr>
        <w:t xml:space="preserve"> сотрудника, в целях заключения трудового договора и исполнения его условий, осуществления прав и обязанностей работодателя в соответствии с трудовым законодательством РФ, ведения бухгалтерского учета и отчетности, кадрового учета, продвижения Работника по службе.</w:t>
      </w:r>
    </w:p>
    <w:p w:rsidR="00430ECD" w:rsidRDefault="00430ECD" w:rsidP="00430ECD">
      <w:pPr>
        <w:pStyle w:val="a3"/>
        <w:numPr>
          <w:ilvl w:val="0"/>
          <w:numId w:val="4"/>
        </w:numPr>
        <w:spacing w:line="240" w:lineRule="auto"/>
        <w:ind w:left="0" w:firstLine="993"/>
        <w:rPr>
          <w:rFonts w:ascii="Times New Roman" w:hAnsi="Times New Roman"/>
        </w:rPr>
      </w:pPr>
      <w:r w:rsidRPr="000B7D90">
        <w:rPr>
          <w:rFonts w:ascii="Times New Roman" w:hAnsi="Times New Roman"/>
        </w:rPr>
        <w:t xml:space="preserve"> Учреждение собирает и хранит </w:t>
      </w:r>
      <w:proofErr w:type="spellStart"/>
      <w:r w:rsidRPr="000B7D90">
        <w:rPr>
          <w:rFonts w:ascii="Times New Roman" w:hAnsi="Times New Roman"/>
        </w:rPr>
        <w:t>ПДн</w:t>
      </w:r>
      <w:proofErr w:type="spellEnd"/>
      <w:r w:rsidRPr="000B7D90">
        <w:rPr>
          <w:rFonts w:ascii="Times New Roman" w:hAnsi="Times New Roman"/>
        </w:rPr>
        <w:t xml:space="preserve"> пациентов (и/или их законных представителей) в целях исполнения действующего законодательства Российской Федерации в области охраны здоровья граждан, улучшению качества жизни граждан, оказания медицинской помощи, исполнения программы обязательного медицинского страхования и ведения медицинской статистики</w:t>
      </w:r>
      <w:r>
        <w:rPr>
          <w:rStyle w:val="a6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. </w:t>
      </w:r>
    </w:p>
    <w:p w:rsidR="00430ECD" w:rsidRDefault="00430ECD" w:rsidP="00430EC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0B7D90">
        <w:rPr>
          <w:rFonts w:ascii="Times New Roman" w:hAnsi="Times New Roman"/>
        </w:rPr>
        <w:lastRenderedPageBreak/>
        <w:t xml:space="preserve">Учреждение собирает и хранит </w:t>
      </w:r>
      <w:proofErr w:type="spellStart"/>
      <w:r w:rsidRPr="000B7D90">
        <w:rPr>
          <w:rFonts w:ascii="Times New Roman" w:hAnsi="Times New Roman"/>
        </w:rPr>
        <w:t>ПДн</w:t>
      </w:r>
      <w:proofErr w:type="spellEnd"/>
      <w:r w:rsidRPr="000B7D90">
        <w:rPr>
          <w:rFonts w:ascii="Times New Roman" w:hAnsi="Times New Roman"/>
        </w:rPr>
        <w:t xml:space="preserve"> лиц, направленных на прохождение медосмотра, в целях исполнения порядка осуществления процедуры медосмотра, определенной законодательством РФ</w:t>
      </w:r>
      <w:r>
        <w:rPr>
          <w:rStyle w:val="a6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</w:t>
      </w:r>
    </w:p>
    <w:p w:rsidR="00430ECD" w:rsidRPr="000B7D90" w:rsidRDefault="00430ECD" w:rsidP="00430ECD">
      <w:pPr>
        <w:pStyle w:val="a3"/>
        <w:autoSpaceDE w:val="0"/>
        <w:autoSpaceDN w:val="0"/>
        <w:adjustRightInd w:val="0"/>
        <w:spacing w:line="240" w:lineRule="auto"/>
        <w:ind w:left="993" w:firstLine="0"/>
        <w:rPr>
          <w:rFonts w:ascii="Times New Roman" w:hAnsi="Times New Roman"/>
        </w:rPr>
      </w:pPr>
    </w:p>
    <w:p w:rsidR="00430ECD" w:rsidRPr="00EA7857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 w:rsidRPr="00EA7857">
        <w:rPr>
          <w:b/>
          <w:i/>
          <w:sz w:val="28"/>
          <w:szCs w:val="28"/>
        </w:rPr>
        <w:t>Условия обработки ПДН и их передачи третьим лицам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spacing w:line="240" w:lineRule="auto"/>
        <w:ind w:left="0" w:firstLine="992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 Обработка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осуществляется путем сбора, записи, систематизации,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>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</w:rPr>
      </w:pPr>
      <w:r w:rsidRPr="00F34146">
        <w:rPr>
          <w:rFonts w:ascii="Times New Roman" w:hAnsi="Times New Roman"/>
        </w:rPr>
        <w:t>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обработка), с передачей по внутренней сети Учреждения и с передачей по сети Интернет (с использованием средств криптографической защиты информации).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Срок хранения для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в электронном виде ограничивается сроком исковой давности, архивного хранения и определен в Перечне обрабатываемых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>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Срок хранения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без использования средств автоматизации определяется номенклатурой дел.</w:t>
      </w:r>
    </w:p>
    <w:p w:rsidR="00430ECD" w:rsidRPr="00F34146" w:rsidRDefault="00430ECD" w:rsidP="00430ECD">
      <w:pPr>
        <w:pStyle w:val="a3"/>
        <w:numPr>
          <w:ilvl w:val="0"/>
          <w:numId w:val="6"/>
        </w:numPr>
        <w:tabs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>Для документов по личному составу (сотрудники) составляет 75 лет.</w:t>
      </w:r>
    </w:p>
    <w:p w:rsidR="00430ECD" w:rsidRPr="00F34146" w:rsidRDefault="00430ECD" w:rsidP="00430ECD">
      <w:pPr>
        <w:pStyle w:val="a3"/>
        <w:numPr>
          <w:ilvl w:val="0"/>
          <w:numId w:val="6"/>
        </w:numPr>
        <w:tabs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>Для амбулаторной карты пациента - 5 лет со дня последнего визита. Амбулаторная карта перемещается в архив Учреждения. По истечению 25 лет хранения по решению комиссии амбулаторная карта уничтожается или продлевается срок хранения (на основании экспертизы ценности).</w:t>
      </w:r>
    </w:p>
    <w:p w:rsidR="00430ECD" w:rsidRPr="00F34146" w:rsidRDefault="00430ECD" w:rsidP="00430ECD">
      <w:pPr>
        <w:pStyle w:val="a3"/>
        <w:numPr>
          <w:ilvl w:val="0"/>
          <w:numId w:val="6"/>
        </w:numPr>
        <w:tabs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 Амбулаторная карта пациента подлежит хранению только в регистратуре учреждения.</w:t>
      </w:r>
    </w:p>
    <w:p w:rsidR="00430ECD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По истечению указанных сроков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в электронном виде удаляются или обезличиваются; обрабатываемые без использования средств автоматизации уничтожаются или передаются на архивное хранение.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Учреждение вправе передавать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субъектов третьим лицам в случаях, предусмотренных законодательством Российской Федерации, а также при наличии письменного согласия субъекта на передачу его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>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При обработке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субъектов Учреждение руководствуется Трудовым кодексом Российской Федерации, Федеральным законом РФ «О персональных данных» №152-ФЗ от 27 июля 2006 года и другими нормативно-правовыми актами в области защиты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>.</w:t>
      </w:r>
    </w:p>
    <w:p w:rsidR="00430ECD" w:rsidRPr="00F34146" w:rsidRDefault="00430ECD" w:rsidP="00430EC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993"/>
        <w:rPr>
          <w:rFonts w:ascii="Times New Roman" w:hAnsi="Times New Roman"/>
        </w:rPr>
      </w:pPr>
      <w:r w:rsidRPr="00F34146">
        <w:rPr>
          <w:rFonts w:ascii="Times New Roman" w:hAnsi="Times New Roman"/>
        </w:rPr>
        <w:t xml:space="preserve">Законченные делопроизводством документы и дела, содержащиеся </w:t>
      </w:r>
      <w:proofErr w:type="spellStart"/>
      <w:r w:rsidRPr="00F34146">
        <w:rPr>
          <w:rFonts w:ascii="Times New Roman" w:hAnsi="Times New Roman"/>
        </w:rPr>
        <w:t>ПДн</w:t>
      </w:r>
      <w:proofErr w:type="spellEnd"/>
      <w:r w:rsidRPr="00F34146">
        <w:rPr>
          <w:rFonts w:ascii="Times New Roman" w:hAnsi="Times New Roman"/>
        </w:rPr>
        <w:t xml:space="preserve"> субъектов, хранятся в архиве Учреждения в соответствии с установленными сроками и условиями хранения.</w:t>
      </w:r>
    </w:p>
    <w:p w:rsidR="00430ECD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 w:rsidRPr="00EA7857">
        <w:rPr>
          <w:b/>
          <w:i/>
          <w:sz w:val="28"/>
          <w:szCs w:val="28"/>
        </w:rPr>
        <w:t>Изменение данных</w:t>
      </w:r>
    </w:p>
    <w:p w:rsidR="00430ECD" w:rsidRPr="004F1754" w:rsidRDefault="00430ECD" w:rsidP="00430ECD">
      <w:pPr>
        <w:pStyle w:val="a3"/>
        <w:numPr>
          <w:ilvl w:val="1"/>
          <w:numId w:val="1"/>
        </w:numPr>
        <w:spacing w:line="240" w:lineRule="auto"/>
        <w:ind w:left="0" w:firstLine="992"/>
        <w:rPr>
          <w:rFonts w:ascii="Times New Roman" w:hAnsi="Times New Roman"/>
        </w:rPr>
      </w:pPr>
      <w:r w:rsidRPr="004F1754">
        <w:rPr>
          <w:rFonts w:ascii="Times New Roman" w:hAnsi="Times New Roman"/>
        </w:rPr>
        <w:t xml:space="preserve">Субъекты </w:t>
      </w:r>
      <w:proofErr w:type="spellStart"/>
      <w:r w:rsidRPr="004F1754">
        <w:rPr>
          <w:rFonts w:ascii="Times New Roman" w:hAnsi="Times New Roman"/>
        </w:rPr>
        <w:t>ПДн</w:t>
      </w:r>
      <w:proofErr w:type="spellEnd"/>
      <w:r w:rsidRPr="004F1754">
        <w:rPr>
          <w:rFonts w:ascii="Times New Roman" w:hAnsi="Times New Roman"/>
        </w:rPr>
        <w:t xml:space="preserve"> могут внести, дополнить или изменить свои </w:t>
      </w:r>
      <w:proofErr w:type="spellStart"/>
      <w:r w:rsidRPr="004F1754">
        <w:rPr>
          <w:rFonts w:ascii="Times New Roman" w:hAnsi="Times New Roman"/>
        </w:rPr>
        <w:t>ПДн</w:t>
      </w:r>
      <w:proofErr w:type="spellEnd"/>
      <w:r w:rsidRPr="004F1754">
        <w:rPr>
          <w:rFonts w:ascii="Times New Roman" w:hAnsi="Times New Roman"/>
        </w:rPr>
        <w:t>.</w:t>
      </w:r>
    </w:p>
    <w:p w:rsidR="00430ECD" w:rsidRPr="004F1754" w:rsidRDefault="00430ECD" w:rsidP="00430ECD">
      <w:pPr>
        <w:pStyle w:val="a3"/>
        <w:numPr>
          <w:ilvl w:val="1"/>
          <w:numId w:val="1"/>
        </w:numPr>
        <w:spacing w:line="240" w:lineRule="auto"/>
        <w:ind w:left="0" w:firstLine="992"/>
        <w:rPr>
          <w:rFonts w:ascii="Times New Roman" w:hAnsi="Times New Roman"/>
        </w:rPr>
      </w:pPr>
      <w:r w:rsidRPr="004F1754">
        <w:rPr>
          <w:rFonts w:ascii="Times New Roman" w:hAnsi="Times New Roman"/>
        </w:rPr>
        <w:lastRenderedPageBreak/>
        <w:t xml:space="preserve">Субъекты </w:t>
      </w:r>
      <w:proofErr w:type="spellStart"/>
      <w:r w:rsidRPr="004F1754">
        <w:rPr>
          <w:rFonts w:ascii="Times New Roman" w:hAnsi="Times New Roman"/>
        </w:rPr>
        <w:t>ПДн</w:t>
      </w:r>
      <w:proofErr w:type="spellEnd"/>
      <w:r w:rsidRPr="004F1754">
        <w:rPr>
          <w:rFonts w:ascii="Times New Roman" w:hAnsi="Times New Roman"/>
        </w:rPr>
        <w:t xml:space="preserve"> могут потребовать прекращения обработки и/или удаления своих </w:t>
      </w:r>
      <w:proofErr w:type="spellStart"/>
      <w:r w:rsidRPr="004F1754">
        <w:rPr>
          <w:rFonts w:ascii="Times New Roman" w:hAnsi="Times New Roman"/>
        </w:rPr>
        <w:t>ПДн</w:t>
      </w:r>
      <w:proofErr w:type="spellEnd"/>
      <w:r w:rsidRPr="004F1754">
        <w:rPr>
          <w:rFonts w:ascii="Times New Roman" w:hAnsi="Times New Roman"/>
        </w:rPr>
        <w:t>.</w:t>
      </w:r>
    </w:p>
    <w:p w:rsidR="00430ECD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Меры, применяемые для защиты данных</w:t>
      </w:r>
    </w:p>
    <w:p w:rsidR="00430ECD" w:rsidRPr="004F1754" w:rsidRDefault="00430ECD" w:rsidP="00430ECD">
      <w:pPr>
        <w:numPr>
          <w:ilvl w:val="0"/>
          <w:numId w:val="7"/>
        </w:numPr>
        <w:autoSpaceDE w:val="0"/>
        <w:autoSpaceDN w:val="0"/>
        <w:adjustRightInd w:val="0"/>
        <w:ind w:left="0" w:firstLine="992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Учреждение гарантирует конфиденциальность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и предоставляет доступ к ним только уполномоченным Работникам, подписавшим обязательство о неразглашении информации, содержащей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.</w:t>
      </w:r>
    </w:p>
    <w:p w:rsidR="00430ECD" w:rsidRPr="004F1754" w:rsidRDefault="00430ECD" w:rsidP="00430ECD">
      <w:pPr>
        <w:numPr>
          <w:ilvl w:val="0"/>
          <w:numId w:val="7"/>
        </w:numPr>
        <w:autoSpaceDE w:val="0"/>
        <w:autoSpaceDN w:val="0"/>
        <w:adjustRightInd w:val="0"/>
        <w:ind w:left="0" w:firstLine="992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Все сотрудники Учреждения, имеющие доступ к персональным данным, соблюдают правила и исполняют требования Положения об обработке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.</w:t>
      </w:r>
    </w:p>
    <w:p w:rsidR="00430ECD" w:rsidRPr="004F1754" w:rsidRDefault="00430ECD" w:rsidP="00430ECD">
      <w:pPr>
        <w:numPr>
          <w:ilvl w:val="0"/>
          <w:numId w:val="7"/>
        </w:numPr>
        <w:autoSpaceDE w:val="0"/>
        <w:autoSpaceDN w:val="0"/>
        <w:adjustRightInd w:val="0"/>
        <w:ind w:left="0" w:firstLine="992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Учреждение принимает необходимые и достаточные организационные и технические меры для защиты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:rsidR="00430ECD" w:rsidRPr="004F1754" w:rsidRDefault="00430ECD" w:rsidP="00430ECD">
      <w:pPr>
        <w:numPr>
          <w:ilvl w:val="0"/>
          <w:numId w:val="7"/>
        </w:numPr>
        <w:autoSpaceDE w:val="0"/>
        <w:autoSpaceDN w:val="0"/>
        <w:adjustRightInd w:val="0"/>
        <w:ind w:left="0" w:firstLine="992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Все рабочие места, на которых обрабатываются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реализуют механизмы</w:t>
      </w:r>
      <w:r>
        <w:rPr>
          <w:sz w:val="28"/>
          <w:szCs w:val="28"/>
        </w:rPr>
        <w:t xml:space="preserve"> </w:t>
      </w:r>
      <w:r w:rsidRPr="004F1754">
        <w:rPr>
          <w:sz w:val="28"/>
          <w:szCs w:val="28"/>
        </w:rPr>
        <w:t>разграничения прав доступа, антивирусной защиты, парольной защиты.</w:t>
      </w:r>
    </w:p>
    <w:p w:rsidR="00430ECD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Права субъектов ПДН</w:t>
      </w:r>
    </w:p>
    <w:p w:rsidR="00430ECD" w:rsidRPr="004F1754" w:rsidRDefault="00430ECD" w:rsidP="00430ECD">
      <w:pPr>
        <w:pStyle w:val="a3"/>
        <w:numPr>
          <w:ilvl w:val="1"/>
          <w:numId w:val="1"/>
        </w:numPr>
        <w:spacing w:line="240" w:lineRule="auto"/>
        <w:ind w:left="0" w:firstLine="993"/>
        <w:rPr>
          <w:rFonts w:ascii="Times New Roman" w:hAnsi="Times New Roman"/>
        </w:rPr>
      </w:pPr>
      <w:r w:rsidRPr="004F1754">
        <w:rPr>
          <w:rFonts w:ascii="Times New Roman" w:hAnsi="Times New Roman"/>
        </w:rPr>
        <w:t xml:space="preserve">Субъект </w:t>
      </w:r>
      <w:proofErr w:type="spellStart"/>
      <w:r w:rsidRPr="004F1754">
        <w:rPr>
          <w:rFonts w:ascii="Times New Roman" w:hAnsi="Times New Roman"/>
        </w:rPr>
        <w:t>ПДн</w:t>
      </w:r>
      <w:proofErr w:type="spellEnd"/>
      <w:r w:rsidRPr="004F1754">
        <w:rPr>
          <w:rFonts w:ascii="Times New Roman" w:hAnsi="Times New Roman"/>
        </w:rPr>
        <w:t xml:space="preserve"> имеет право запрашивать у Учреждения следующие сведения: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подтверждение факта обработки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правовые основания и цели обработки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цели и применяемые способы обработки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наименование и место нахождения, сведения о лицах (за исключением сотрудников Учреждения), которые имеют доступ к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или которым могут быть раскрыты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на основании договора с Учреждением или на основании ФЗ;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обрабатываемые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, относящиеся к соответствующему субъекту, источник их получения, если иной порядок представления таких данных не предусмотрен ФЗ;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>сроки обработки ФЗ, в том числе сроки их хранения;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>порядок осуществления субъектом прав, предусмотренных законодательством;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по поручению Учреждения, если обработка поручена или будет поручена такому лицу;</w:t>
      </w:r>
    </w:p>
    <w:p w:rsidR="00430ECD" w:rsidRPr="004F1754" w:rsidRDefault="00430ECD" w:rsidP="00430ECD">
      <w:pPr>
        <w:numPr>
          <w:ilvl w:val="0"/>
          <w:numId w:val="8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>иные сведения, предусмотренные законодательством</w:t>
      </w:r>
    </w:p>
    <w:p w:rsidR="00430ECD" w:rsidRPr="004F1754" w:rsidRDefault="00430ECD" w:rsidP="00430ECD">
      <w:pPr>
        <w:numPr>
          <w:ilvl w:val="0"/>
          <w:numId w:val="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Субъект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имеет право требовать от Учреждения уточнения своих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>, их блокирования или уничтожения.</w:t>
      </w:r>
    </w:p>
    <w:p w:rsidR="00430ECD" w:rsidRPr="004F1754" w:rsidRDefault="00430ECD" w:rsidP="00430ECD">
      <w:pPr>
        <w:numPr>
          <w:ilvl w:val="0"/>
          <w:numId w:val="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Субъект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не должен отказываться от своих прав на сохранение личной и семейной тайны.</w:t>
      </w:r>
    </w:p>
    <w:p w:rsidR="00430ECD" w:rsidRDefault="00430ECD" w:rsidP="00430ECD">
      <w:pPr>
        <w:numPr>
          <w:ilvl w:val="0"/>
          <w:numId w:val="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lastRenderedPageBreak/>
        <w:t xml:space="preserve">Если субъект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считает, что Учреждение осуществляет обработку его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с нарушением требований действующего законодательства РФ или иным образом нарушает его права и свободы, субъект вправе обжаловать действия или бездействие Учреждения в уполномоченный орган по защите прав субъектов персональных данных или в судебном порядке.</w:t>
      </w:r>
      <w:r>
        <w:rPr>
          <w:sz w:val="28"/>
          <w:szCs w:val="28"/>
        </w:rPr>
        <w:t xml:space="preserve"> </w:t>
      </w:r>
    </w:p>
    <w:p w:rsidR="00430ECD" w:rsidRDefault="00430ECD" w:rsidP="00430ECD">
      <w:pPr>
        <w:numPr>
          <w:ilvl w:val="0"/>
          <w:numId w:val="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F1754">
        <w:rPr>
          <w:sz w:val="28"/>
          <w:szCs w:val="28"/>
        </w:rPr>
        <w:t xml:space="preserve">Субъект </w:t>
      </w:r>
      <w:proofErr w:type="spellStart"/>
      <w:r w:rsidRPr="004F1754">
        <w:rPr>
          <w:sz w:val="28"/>
          <w:szCs w:val="28"/>
        </w:rPr>
        <w:t>ПДн</w:t>
      </w:r>
      <w:proofErr w:type="spellEnd"/>
      <w:r w:rsidRPr="004F1754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sz w:val="28"/>
          <w:szCs w:val="28"/>
        </w:rPr>
        <w:t>.</w:t>
      </w:r>
    </w:p>
    <w:p w:rsidR="00430ECD" w:rsidRDefault="00430ECD" w:rsidP="00430ECD">
      <w:pPr>
        <w:numPr>
          <w:ilvl w:val="0"/>
          <w:numId w:val="1"/>
        </w:numPr>
        <w:spacing w:before="240"/>
        <w:ind w:left="1349" w:hanging="3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Изменение политики, применимое законодательство</w:t>
      </w:r>
    </w:p>
    <w:p w:rsidR="00430ECD" w:rsidRPr="00264C8C" w:rsidRDefault="00430ECD" w:rsidP="00430ECD">
      <w:pPr>
        <w:numPr>
          <w:ilvl w:val="1"/>
          <w:numId w:val="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64C8C">
        <w:rPr>
          <w:sz w:val="28"/>
          <w:szCs w:val="28"/>
        </w:rPr>
        <w:t>Учреждение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утверждения Главным врачом, если иное не предусмотрено новой редакцией Политики.</w:t>
      </w:r>
    </w:p>
    <w:p w:rsidR="00430ECD" w:rsidRPr="00264C8C" w:rsidRDefault="00430ECD" w:rsidP="00430ECD">
      <w:pPr>
        <w:numPr>
          <w:ilvl w:val="1"/>
          <w:numId w:val="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64C8C">
        <w:rPr>
          <w:sz w:val="28"/>
          <w:szCs w:val="28"/>
        </w:rPr>
        <w:t xml:space="preserve">Действующая редакция хранится в месте нахождения Учреждения по адресу: 452650, Республика Башкортостан, </w:t>
      </w:r>
      <w:proofErr w:type="spellStart"/>
      <w:r w:rsidRPr="00264C8C">
        <w:rPr>
          <w:sz w:val="28"/>
          <w:szCs w:val="28"/>
        </w:rPr>
        <w:t>Бакалинский</w:t>
      </w:r>
      <w:proofErr w:type="spellEnd"/>
      <w:r w:rsidRPr="00264C8C">
        <w:rPr>
          <w:sz w:val="28"/>
          <w:szCs w:val="28"/>
        </w:rPr>
        <w:t xml:space="preserve"> р-н, с. Бакалы, ул. </w:t>
      </w:r>
      <w:proofErr w:type="spellStart"/>
      <w:r w:rsidRPr="00264C8C">
        <w:rPr>
          <w:sz w:val="28"/>
          <w:szCs w:val="28"/>
        </w:rPr>
        <w:t>Шакирьянова</w:t>
      </w:r>
      <w:proofErr w:type="spellEnd"/>
      <w:r w:rsidRPr="00264C8C">
        <w:rPr>
          <w:sz w:val="28"/>
          <w:szCs w:val="28"/>
        </w:rPr>
        <w:t>, 2</w:t>
      </w:r>
    </w:p>
    <w:p w:rsidR="00430ECD" w:rsidRPr="00264C8C" w:rsidRDefault="00430ECD" w:rsidP="00430ECD">
      <w:pPr>
        <w:numPr>
          <w:ilvl w:val="1"/>
          <w:numId w:val="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64C8C">
        <w:rPr>
          <w:sz w:val="28"/>
          <w:szCs w:val="28"/>
        </w:rPr>
        <w:t xml:space="preserve">К настоящей Политике и отношениям между Субъектами </w:t>
      </w:r>
      <w:proofErr w:type="spellStart"/>
      <w:r w:rsidRPr="00264C8C">
        <w:rPr>
          <w:sz w:val="28"/>
          <w:szCs w:val="28"/>
        </w:rPr>
        <w:t>ПДн</w:t>
      </w:r>
      <w:proofErr w:type="spellEnd"/>
      <w:r w:rsidRPr="00264C8C">
        <w:rPr>
          <w:sz w:val="28"/>
          <w:szCs w:val="28"/>
        </w:rPr>
        <w:t xml:space="preserve"> и Учреждением подлежит применению право Российской Федерации</w:t>
      </w:r>
    </w:p>
    <w:p w:rsidR="00735AE3" w:rsidRDefault="00735AE3"/>
    <w:sectPr w:rsidR="00735AE3" w:rsidSect="00430E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EF" w:rsidRDefault="005D5FEF" w:rsidP="00430ECD">
      <w:r>
        <w:separator/>
      </w:r>
    </w:p>
  </w:endnote>
  <w:endnote w:type="continuationSeparator" w:id="0">
    <w:p w:rsidR="005D5FEF" w:rsidRDefault="005D5FEF" w:rsidP="0043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EF" w:rsidRDefault="005D5FEF" w:rsidP="00430ECD">
      <w:r>
        <w:separator/>
      </w:r>
    </w:p>
  </w:footnote>
  <w:footnote w:type="continuationSeparator" w:id="0">
    <w:p w:rsidR="005D5FEF" w:rsidRDefault="005D5FEF" w:rsidP="00430ECD">
      <w:r>
        <w:continuationSeparator/>
      </w:r>
    </w:p>
  </w:footnote>
  <w:footnote w:id="1">
    <w:p w:rsidR="00430ECD" w:rsidRDefault="00430ECD" w:rsidP="00430ECD">
      <w:pPr>
        <w:pStyle w:val="a4"/>
      </w:pPr>
      <w:r>
        <w:rPr>
          <w:rStyle w:val="a6"/>
        </w:rPr>
        <w:footnoteRef/>
      </w:r>
      <w:r>
        <w:t xml:space="preserve"> ФЗ «Об основах здоровья граждан в Российской Федерации»</w:t>
      </w:r>
    </w:p>
  </w:footnote>
  <w:footnote w:id="2">
    <w:p w:rsidR="00430ECD" w:rsidRDefault="00430ECD" w:rsidP="00430ECD">
      <w:pPr>
        <w:pStyle w:val="a4"/>
      </w:pPr>
      <w:r>
        <w:rPr>
          <w:rStyle w:val="a6"/>
        </w:rPr>
        <w:footnoteRef/>
      </w:r>
      <w:r>
        <w:t xml:space="preserve"> Трудовой кодекс, СанПиН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F88"/>
    <w:multiLevelType w:val="hybridMultilevel"/>
    <w:tmpl w:val="AC70CFCA"/>
    <w:lvl w:ilvl="0" w:tplc="897E1A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877F99"/>
    <w:multiLevelType w:val="hybridMultilevel"/>
    <w:tmpl w:val="ECD44428"/>
    <w:lvl w:ilvl="0" w:tplc="A7C6F574">
      <w:start w:val="2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913"/>
    <w:multiLevelType w:val="hybridMultilevel"/>
    <w:tmpl w:val="742AF51E"/>
    <w:lvl w:ilvl="0" w:tplc="8AB6E8D2">
      <w:start w:val="1"/>
      <w:numFmt w:val="decimal"/>
      <w:lvlText w:val="1.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D82D76"/>
    <w:multiLevelType w:val="hybridMultilevel"/>
    <w:tmpl w:val="B06EFF1A"/>
    <w:lvl w:ilvl="0" w:tplc="B19E664A">
      <w:start w:val="1"/>
      <w:numFmt w:val="decimal"/>
      <w:lvlText w:val="3.4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FF71D72"/>
    <w:multiLevelType w:val="multilevel"/>
    <w:tmpl w:val="F7B805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ascii="Times New Roman" w:hAnsi="Times New Roman" w:hint="default"/>
      </w:rPr>
    </w:lvl>
  </w:abstractNum>
  <w:abstractNum w:abstractNumId="5" w15:restartNumberingAfterBreak="0">
    <w:nsid w:val="4B2A53E7"/>
    <w:multiLevelType w:val="hybridMultilevel"/>
    <w:tmpl w:val="4DAE5FAE"/>
    <w:lvl w:ilvl="0" w:tplc="FB9EA55C">
      <w:start w:val="1"/>
      <w:numFmt w:val="decimal"/>
      <w:lvlText w:val="1.2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3E2AAA"/>
    <w:multiLevelType w:val="hybridMultilevel"/>
    <w:tmpl w:val="2452A880"/>
    <w:lvl w:ilvl="0" w:tplc="49D6E636">
      <w:start w:val="1"/>
      <w:numFmt w:val="decimal"/>
      <w:lvlText w:val="3.%1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FF9612D"/>
    <w:multiLevelType w:val="hybridMultilevel"/>
    <w:tmpl w:val="D90C622E"/>
    <w:lvl w:ilvl="0" w:tplc="583413B8">
      <w:start w:val="1"/>
      <w:numFmt w:val="decimal"/>
      <w:lvlText w:val="2.%1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C6629B0"/>
    <w:multiLevelType w:val="multilevel"/>
    <w:tmpl w:val="07D6E418"/>
    <w:lvl w:ilvl="0">
      <w:start w:val="1"/>
      <w:numFmt w:val="decimal"/>
      <w:lvlText w:val="5.%1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61"/>
    <w:rsid w:val="000F3B04"/>
    <w:rsid w:val="00430ECD"/>
    <w:rsid w:val="005D5FEF"/>
    <w:rsid w:val="00735AE3"/>
    <w:rsid w:val="00EF6561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59FB-B8BB-4D26-B885-D3D3AB57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ECD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430EC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ECD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footnote text"/>
    <w:basedOn w:val="a"/>
    <w:link w:val="a5"/>
    <w:rsid w:val="00430EC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30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3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2023-04-24T10:59:00Z</dcterms:created>
  <dcterms:modified xsi:type="dcterms:W3CDTF">2023-04-24T10:59:00Z</dcterms:modified>
</cp:coreProperties>
</file>